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2D" w:rsidRDefault="0016592D"/>
    <w:p w:rsidR="00386EF3" w:rsidRDefault="00386EF3"/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8222"/>
      </w:tblGrid>
      <w:tr w:rsidR="00050DE4" w:rsidRPr="00F7527D" w:rsidTr="00B52DA1">
        <w:trPr>
          <w:jc w:val="center"/>
        </w:trPr>
        <w:tc>
          <w:tcPr>
            <w:tcW w:w="10060" w:type="dxa"/>
            <w:gridSpan w:val="2"/>
          </w:tcPr>
          <w:p w:rsidR="00B83D51" w:rsidRPr="00F7527D" w:rsidRDefault="00050DE4" w:rsidP="002E3E2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7527D">
              <w:rPr>
                <w:rFonts w:cs="Arial"/>
                <w:b/>
                <w:sz w:val="32"/>
                <w:szCs w:val="32"/>
              </w:rPr>
              <w:t>Building Community Capacity Practitioners Network</w:t>
            </w:r>
            <w:r w:rsidR="00F7527D" w:rsidRPr="00F7527D">
              <w:rPr>
                <w:rFonts w:cs="Arial"/>
                <w:b/>
                <w:sz w:val="32"/>
                <w:szCs w:val="32"/>
              </w:rPr>
              <w:t xml:space="preserve"> Meeting</w:t>
            </w:r>
          </w:p>
          <w:p w:rsidR="002E3E2A" w:rsidRPr="00F7527D" w:rsidRDefault="002E3E2A" w:rsidP="002E3E2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050DE4" w:rsidRPr="00F7527D" w:rsidRDefault="00F14F4A" w:rsidP="00F7527D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25</w:t>
            </w:r>
            <w:r w:rsidR="00CB223E" w:rsidRPr="00CB223E">
              <w:rPr>
                <w:rFonts w:cs="Arial"/>
                <w:b/>
                <w:sz w:val="26"/>
                <w:szCs w:val="26"/>
                <w:vertAlign w:val="superscript"/>
              </w:rPr>
              <w:t>th</w:t>
            </w:r>
            <w:r w:rsidR="00CB223E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F7527D">
              <w:rPr>
                <w:rFonts w:cs="Arial"/>
                <w:b/>
                <w:sz w:val="26"/>
                <w:szCs w:val="26"/>
              </w:rPr>
              <w:t>Jan</w:t>
            </w:r>
            <w:r w:rsidR="00F7527D" w:rsidRPr="00F7527D">
              <w:rPr>
                <w:rFonts w:cs="Arial"/>
                <w:b/>
                <w:sz w:val="26"/>
                <w:szCs w:val="26"/>
              </w:rPr>
              <w:t>uary 2017,</w:t>
            </w:r>
            <w:r w:rsidRPr="00F7527D">
              <w:rPr>
                <w:rFonts w:cs="Arial"/>
                <w:b/>
                <w:sz w:val="26"/>
                <w:szCs w:val="26"/>
              </w:rPr>
              <w:t xml:space="preserve"> 11</w:t>
            </w:r>
            <w:r w:rsidR="00627BAA">
              <w:rPr>
                <w:rFonts w:cs="Arial"/>
                <w:b/>
                <w:sz w:val="26"/>
                <w:szCs w:val="26"/>
              </w:rPr>
              <w:t>.15</w:t>
            </w:r>
            <w:r w:rsidR="00F7527D" w:rsidRPr="00F7527D">
              <w:rPr>
                <w:rFonts w:cs="Arial"/>
                <w:b/>
                <w:sz w:val="26"/>
                <w:szCs w:val="26"/>
              </w:rPr>
              <w:t xml:space="preserve"> – 16</w:t>
            </w:r>
            <w:r w:rsidR="00627BAA">
              <w:rPr>
                <w:rFonts w:cs="Arial"/>
                <w:b/>
                <w:sz w:val="26"/>
                <w:szCs w:val="26"/>
              </w:rPr>
              <w:t>.15</w:t>
            </w:r>
            <w:r w:rsidR="00F7527D" w:rsidRPr="00F7527D">
              <w:rPr>
                <w:rFonts w:cs="Arial"/>
                <w:b/>
                <w:sz w:val="26"/>
                <w:szCs w:val="26"/>
              </w:rPr>
              <w:t xml:space="preserve"> (</w:t>
            </w:r>
            <w:r w:rsidR="00386EF3">
              <w:rPr>
                <w:rFonts w:cs="Arial"/>
                <w:b/>
                <w:sz w:val="26"/>
                <w:szCs w:val="26"/>
              </w:rPr>
              <w:t>l</w:t>
            </w:r>
            <w:r w:rsidR="00F7527D" w:rsidRPr="00F7527D">
              <w:rPr>
                <w:rFonts w:cs="Arial"/>
                <w:b/>
                <w:sz w:val="26"/>
                <w:szCs w:val="26"/>
              </w:rPr>
              <w:t>unch p</w:t>
            </w:r>
            <w:r w:rsidR="003E2038" w:rsidRPr="00F7527D">
              <w:rPr>
                <w:rFonts w:cs="Arial"/>
                <w:b/>
                <w:sz w:val="26"/>
                <w:szCs w:val="26"/>
              </w:rPr>
              <w:t>rovided)</w:t>
            </w:r>
          </w:p>
          <w:p w:rsidR="00050DE4" w:rsidRPr="00F7527D" w:rsidRDefault="00050DE4" w:rsidP="002E3E2A">
            <w:pPr>
              <w:ind w:left="72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A113FA" w:rsidRPr="00F7527D" w:rsidRDefault="007061E1" w:rsidP="002E3E2A">
            <w:pPr>
              <w:ind w:left="29"/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Co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>in Street Neighbourhood Centre</w:t>
            </w:r>
          </w:p>
          <w:p w:rsidR="00050DE4" w:rsidRPr="00F7527D" w:rsidRDefault="007061E1" w:rsidP="002E3E2A">
            <w:pPr>
              <w:ind w:left="29"/>
              <w:jc w:val="center"/>
              <w:rPr>
                <w:rFonts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108 Stamford Street, South Bank, London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>,</w:t>
            </w:r>
            <w:r w:rsidRPr="00F7527D">
              <w:rPr>
                <w:rFonts w:cs="Arial"/>
                <w:b/>
                <w:sz w:val="26"/>
                <w:szCs w:val="26"/>
              </w:rPr>
              <w:t xml:space="preserve"> SE1 9NH</w:t>
            </w:r>
          </w:p>
          <w:p w:rsidR="00E47BD2" w:rsidRPr="00F7527D" w:rsidRDefault="00E47BD2" w:rsidP="002E3E2A">
            <w:pPr>
              <w:ind w:firstLine="720"/>
              <w:jc w:val="center"/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</w:pPr>
          </w:p>
          <w:p w:rsidR="00050DE4" w:rsidRPr="00F7527D" w:rsidRDefault="007061E1" w:rsidP="002E3E2A">
            <w:pPr>
              <w:ind w:firstLine="29"/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color w:val="333333"/>
                <w:sz w:val="26"/>
                <w:szCs w:val="26"/>
                <w:shd w:val="clear" w:color="auto" w:fill="FFFFFF"/>
              </w:rPr>
              <w:t>Map</w:t>
            </w:r>
            <w:r w:rsidR="00050DE4" w:rsidRPr="00F7527D">
              <w:rPr>
                <w:rFonts w:cs="Arial"/>
                <w:b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="00050DE4" w:rsidRPr="00F7527D"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hyperlink r:id="rId7" w:history="1">
              <w:r w:rsidRPr="00F7527D">
                <w:rPr>
                  <w:rStyle w:val="Hyperlink"/>
                  <w:rFonts w:cs="Arial"/>
                  <w:sz w:val="26"/>
                  <w:szCs w:val="26"/>
                  <w:shd w:val="clear" w:color="auto" w:fill="FFFFFF"/>
                </w:rPr>
                <w:t>http://coinstreet.org/wp-content/uploads/2013/11/Coin-Street-neighbourhood-centre-map-and-directions-2014.pdf</w:t>
              </w:r>
            </w:hyperlink>
          </w:p>
          <w:p w:rsidR="00050DE4" w:rsidRPr="00F7527D" w:rsidRDefault="00050DE4" w:rsidP="007061E1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050DE4" w:rsidRPr="00F7527D" w:rsidTr="00A113FA">
        <w:trPr>
          <w:trHeight w:val="496"/>
          <w:jc w:val="center"/>
        </w:trPr>
        <w:tc>
          <w:tcPr>
            <w:tcW w:w="1838" w:type="dxa"/>
          </w:tcPr>
          <w:p w:rsidR="00050DE4" w:rsidRPr="00F7527D" w:rsidRDefault="00A113FA">
            <w:pPr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TIME</w:t>
            </w:r>
          </w:p>
        </w:tc>
        <w:tc>
          <w:tcPr>
            <w:tcW w:w="8222" w:type="dxa"/>
          </w:tcPr>
          <w:p w:rsidR="00050DE4" w:rsidRPr="00F7527D" w:rsidRDefault="00A113FA" w:rsidP="00A113F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TOPIC</w:t>
            </w:r>
          </w:p>
        </w:tc>
      </w:tr>
      <w:tr w:rsidR="00A113FA" w:rsidRPr="00F7527D" w:rsidTr="00A113FA">
        <w:trPr>
          <w:jc w:val="center"/>
        </w:trPr>
        <w:tc>
          <w:tcPr>
            <w:tcW w:w="1838" w:type="dxa"/>
          </w:tcPr>
          <w:p w:rsidR="00A113FA" w:rsidRPr="00F7527D" w:rsidRDefault="007B79EE" w:rsidP="0075709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11.15</w:t>
            </w:r>
            <w:r w:rsidR="009F3860">
              <w:rPr>
                <w:rFonts w:cs="Arial"/>
                <w:b/>
                <w:sz w:val="26"/>
                <w:szCs w:val="26"/>
              </w:rPr>
              <w:t xml:space="preserve"> -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9F3860">
              <w:rPr>
                <w:rFonts w:cs="Arial"/>
                <w:b/>
                <w:sz w:val="26"/>
                <w:szCs w:val="26"/>
              </w:rPr>
              <w:t>11.55</w:t>
            </w:r>
          </w:p>
        </w:tc>
        <w:tc>
          <w:tcPr>
            <w:tcW w:w="8222" w:type="dxa"/>
          </w:tcPr>
          <w:p w:rsidR="00757091" w:rsidRPr="00F7527D" w:rsidRDefault="00757091" w:rsidP="00757091">
            <w:pPr>
              <w:tabs>
                <w:tab w:val="left" w:pos="1299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 xml:space="preserve">Market place </w:t>
            </w:r>
          </w:p>
          <w:p w:rsidR="00757091" w:rsidRPr="00F7527D" w:rsidRDefault="00757091" w:rsidP="00757091">
            <w:pPr>
              <w:tabs>
                <w:tab w:val="left" w:pos="1299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A113FA" w:rsidRDefault="00757091" w:rsidP="00757091">
            <w:pPr>
              <w:jc w:val="center"/>
              <w:rPr>
                <w:rFonts w:cs="Arial"/>
                <w:sz w:val="26"/>
                <w:szCs w:val="26"/>
              </w:rPr>
            </w:pPr>
            <w:r w:rsidRPr="00F7527D">
              <w:rPr>
                <w:rFonts w:cs="Arial"/>
                <w:sz w:val="26"/>
                <w:szCs w:val="26"/>
              </w:rPr>
              <w:t>An opportunity to network with colleagues and speak to organisations who are contributing to strong and inclusive communities.  Stall holders will have materials/resources for you to take home</w:t>
            </w:r>
            <w:bookmarkStart w:id="0" w:name="_GoBack"/>
            <w:bookmarkEnd w:id="0"/>
            <w:r w:rsidRPr="00F7527D">
              <w:rPr>
                <w:rFonts w:cs="Arial"/>
                <w:sz w:val="26"/>
                <w:szCs w:val="26"/>
              </w:rPr>
              <w:t xml:space="preserve"> with you</w:t>
            </w:r>
            <w:r w:rsidR="00386EF3">
              <w:rPr>
                <w:rFonts w:cs="Arial"/>
                <w:sz w:val="26"/>
                <w:szCs w:val="26"/>
              </w:rPr>
              <w:t>.</w:t>
            </w:r>
          </w:p>
          <w:p w:rsidR="00386EF3" w:rsidRPr="00F7527D" w:rsidRDefault="00386EF3" w:rsidP="00757091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A45094" w:rsidRPr="00F7527D" w:rsidRDefault="009F386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11.55 - 12.00</w:t>
            </w:r>
          </w:p>
          <w:p w:rsidR="00A45094" w:rsidRPr="00F7527D" w:rsidRDefault="00A45094">
            <w:pPr>
              <w:rPr>
                <w:rFonts w:cs="Arial"/>
                <w:b/>
                <w:sz w:val="26"/>
                <w:szCs w:val="26"/>
              </w:rPr>
            </w:pPr>
          </w:p>
          <w:p w:rsidR="00A45094" w:rsidRPr="00F7527D" w:rsidRDefault="00A45094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A113FA" w:rsidRPr="00F7527D" w:rsidRDefault="00757091" w:rsidP="0047412A">
            <w:pPr>
              <w:tabs>
                <w:tab w:val="left" w:pos="1299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Welcome</w:t>
            </w:r>
          </w:p>
          <w:p w:rsidR="00931E15" w:rsidRPr="00F7527D" w:rsidRDefault="0047412A" w:rsidP="0047412A">
            <w:pPr>
              <w:tabs>
                <w:tab w:val="left" w:pos="1299"/>
              </w:tabs>
              <w:jc w:val="center"/>
              <w:rPr>
                <w:rFonts w:cs="Arial"/>
                <w:sz w:val="26"/>
                <w:szCs w:val="26"/>
              </w:rPr>
            </w:pPr>
            <w:r w:rsidRPr="00F7527D">
              <w:rPr>
                <w:rFonts w:cs="Arial"/>
                <w:sz w:val="26"/>
                <w:szCs w:val="26"/>
              </w:rPr>
              <w:t xml:space="preserve">  </w:t>
            </w:r>
            <w:r w:rsidR="00931E15" w:rsidRPr="00F7527D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3E2038" w:rsidRPr="00F7527D" w:rsidTr="00A113FA">
        <w:trPr>
          <w:jc w:val="center"/>
        </w:trPr>
        <w:tc>
          <w:tcPr>
            <w:tcW w:w="1838" w:type="dxa"/>
          </w:tcPr>
          <w:p w:rsidR="003E2038" w:rsidRPr="00F7527D" w:rsidRDefault="009F3860" w:rsidP="0044706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12.00</w:t>
            </w:r>
            <w:r w:rsidR="007B79EE">
              <w:rPr>
                <w:rFonts w:cs="Arial"/>
                <w:b/>
                <w:sz w:val="26"/>
                <w:szCs w:val="26"/>
              </w:rPr>
              <w:t xml:space="preserve"> – 12.</w:t>
            </w:r>
            <w:r>
              <w:rPr>
                <w:rFonts w:cs="Arial"/>
                <w:b/>
                <w:sz w:val="26"/>
                <w:szCs w:val="26"/>
              </w:rPr>
              <w:t>30</w:t>
            </w:r>
          </w:p>
        </w:tc>
        <w:tc>
          <w:tcPr>
            <w:tcW w:w="8222" w:type="dxa"/>
          </w:tcPr>
          <w:p w:rsidR="003E2038" w:rsidRPr="00F7527D" w:rsidRDefault="00931E15" w:rsidP="00717553">
            <w:pPr>
              <w:tabs>
                <w:tab w:val="left" w:pos="1283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Sheffield Cycling for All</w:t>
            </w:r>
            <w:r w:rsidR="00F7527D">
              <w:rPr>
                <w:rFonts w:cs="Arial"/>
                <w:b/>
                <w:sz w:val="26"/>
                <w:szCs w:val="26"/>
              </w:rPr>
              <w:t xml:space="preserve"> – Steve Marsden and Caroline Waugh</w:t>
            </w:r>
          </w:p>
          <w:p w:rsidR="00F7527D" w:rsidRDefault="00F7527D" w:rsidP="00717553">
            <w:pPr>
              <w:tabs>
                <w:tab w:val="left" w:pos="1283"/>
              </w:tabs>
              <w:jc w:val="center"/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</w:pPr>
          </w:p>
          <w:p w:rsidR="00E514BC" w:rsidRPr="00F7527D" w:rsidRDefault="00F7527D" w:rsidP="00717553">
            <w:pPr>
              <w:tabs>
                <w:tab w:val="left" w:pos="1283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Steve and Caroline </w:t>
            </w:r>
            <w:r w:rsidR="00E514BC" w:rsidRPr="00F7527D"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will talk about this innovative inclusive project. Caroline will describe how she regained her independence and expanded her social and support networks through learning to cycle a recumbent bike. </w:t>
            </w:r>
            <w:r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Caroline is also </w:t>
            </w:r>
            <w:r w:rsidR="007B79EE"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a member </w:t>
            </w:r>
            <w:r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>of the National Co-production Advisory Group</w:t>
            </w:r>
            <w:r w:rsidR="00C4047F"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 xml:space="preserve"> (NCAG)</w:t>
            </w:r>
            <w:r>
              <w:rPr>
                <w:rFonts w:cs="Arial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E514BC" w:rsidRPr="00F7527D">
              <w:rPr>
                <w:rStyle w:val="apple-converted-space"/>
                <w:rFonts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931E15" w:rsidRPr="00F7527D" w:rsidRDefault="00931E15" w:rsidP="00A113FA">
            <w:pPr>
              <w:tabs>
                <w:tab w:val="left" w:pos="1283"/>
              </w:tabs>
              <w:rPr>
                <w:rFonts w:cs="Arial"/>
                <w:sz w:val="26"/>
                <w:szCs w:val="26"/>
              </w:rPr>
            </w:pPr>
          </w:p>
        </w:tc>
      </w:tr>
      <w:tr w:rsidR="00FA427E" w:rsidRPr="00F7527D" w:rsidTr="00C4047F">
        <w:trPr>
          <w:trHeight w:val="844"/>
          <w:jc w:val="center"/>
        </w:trPr>
        <w:tc>
          <w:tcPr>
            <w:tcW w:w="1838" w:type="dxa"/>
          </w:tcPr>
          <w:p w:rsidR="00FA427E" w:rsidRPr="00F7527D" w:rsidRDefault="00FA427E" w:rsidP="007B79EE">
            <w:pPr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12.</w:t>
            </w:r>
            <w:r w:rsidR="009F3860">
              <w:rPr>
                <w:rFonts w:cs="Arial"/>
                <w:b/>
                <w:sz w:val="26"/>
                <w:szCs w:val="26"/>
              </w:rPr>
              <w:t>30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7B79EE">
              <w:rPr>
                <w:rFonts w:cs="Arial"/>
                <w:b/>
                <w:sz w:val="26"/>
                <w:szCs w:val="26"/>
              </w:rPr>
              <w:t>–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9F3860">
              <w:rPr>
                <w:rFonts w:cs="Arial"/>
                <w:b/>
                <w:sz w:val="26"/>
                <w:szCs w:val="26"/>
              </w:rPr>
              <w:t>13.00</w:t>
            </w:r>
          </w:p>
        </w:tc>
        <w:tc>
          <w:tcPr>
            <w:tcW w:w="8222" w:type="dxa"/>
          </w:tcPr>
          <w:p w:rsidR="007B79EE" w:rsidRPr="00F7527D" w:rsidRDefault="007B79EE" w:rsidP="007B79EE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 xml:space="preserve">Mapping community assets </w:t>
            </w:r>
            <w:r>
              <w:rPr>
                <w:rFonts w:cs="Arial"/>
                <w:b/>
                <w:sz w:val="26"/>
                <w:szCs w:val="26"/>
              </w:rPr>
              <w:t xml:space="preserve">- </w:t>
            </w:r>
            <w:r w:rsidRPr="00F7527D">
              <w:rPr>
                <w:rFonts w:cs="Arial"/>
                <w:b/>
                <w:sz w:val="26"/>
                <w:szCs w:val="26"/>
              </w:rPr>
              <w:t>David Russell</w:t>
            </w:r>
          </w:p>
          <w:p w:rsidR="007B79EE" w:rsidRPr="00F7527D" w:rsidRDefault="007B79EE" w:rsidP="007B79EE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A113FA" w:rsidRDefault="007B79EE" w:rsidP="00386EF3">
            <w:pPr>
              <w:jc w:val="center"/>
              <w:rPr>
                <w:rFonts w:cs="Arial"/>
                <w:sz w:val="26"/>
                <w:szCs w:val="26"/>
              </w:rPr>
            </w:pPr>
            <w:r w:rsidRPr="00F7527D">
              <w:rPr>
                <w:rFonts w:cs="Arial"/>
                <w:sz w:val="26"/>
                <w:szCs w:val="26"/>
              </w:rPr>
              <w:t xml:space="preserve">How do you get started on mapping the assets in a community? </w:t>
            </w:r>
            <w:r w:rsidRPr="009F3860">
              <w:rPr>
                <w:rFonts w:cs="Arial"/>
                <w:b/>
                <w:i/>
                <w:sz w:val="26"/>
                <w:szCs w:val="26"/>
              </w:rPr>
              <w:t>Just Add Spice</w:t>
            </w:r>
            <w:r w:rsidRPr="00F7527D">
              <w:rPr>
                <w:rFonts w:cs="Arial"/>
                <w:sz w:val="26"/>
                <w:szCs w:val="26"/>
              </w:rPr>
              <w:t xml:space="preserve"> has developed a tool that will support colleagues to get started and to keep going! The tool provides a step by step approach and is supported by a number of case studies.</w:t>
            </w:r>
          </w:p>
          <w:p w:rsidR="00386EF3" w:rsidRPr="00386EF3" w:rsidRDefault="00386EF3" w:rsidP="00386EF3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7B79EE" w:rsidRPr="00F7527D" w:rsidTr="00A113FA">
        <w:trPr>
          <w:jc w:val="center"/>
        </w:trPr>
        <w:tc>
          <w:tcPr>
            <w:tcW w:w="1838" w:type="dxa"/>
          </w:tcPr>
          <w:p w:rsidR="007B79EE" w:rsidRPr="00F7527D" w:rsidRDefault="009F3860" w:rsidP="007B79EE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13.00</w:t>
            </w:r>
            <w:r w:rsidR="007B79EE">
              <w:rPr>
                <w:rFonts w:cs="Arial"/>
                <w:b/>
                <w:sz w:val="26"/>
                <w:szCs w:val="26"/>
              </w:rPr>
              <w:t xml:space="preserve"> – 13.</w:t>
            </w:r>
            <w:r>
              <w:rPr>
                <w:rFonts w:cs="Arial"/>
                <w:b/>
                <w:sz w:val="26"/>
                <w:szCs w:val="26"/>
              </w:rPr>
              <w:t>30</w:t>
            </w:r>
          </w:p>
        </w:tc>
        <w:tc>
          <w:tcPr>
            <w:tcW w:w="8222" w:type="dxa"/>
          </w:tcPr>
          <w:p w:rsidR="00386EF3" w:rsidRDefault="007B79EE" w:rsidP="00386EF3">
            <w:pPr>
              <w:pStyle w:val="NormalWeb"/>
              <w:shd w:val="clear" w:color="auto" w:fill="FFFFFF"/>
              <w:spacing w:before="0" w:beforeAutospacing="0" w:after="75" w:afterAutospacing="0" w:line="408" w:lineRule="atLeast"/>
              <w:jc w:val="center"/>
              <w:textAlignment w:val="baseline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Lunch</w:t>
            </w:r>
          </w:p>
          <w:p w:rsidR="00386EF3" w:rsidRPr="00F7527D" w:rsidRDefault="00386EF3" w:rsidP="00386EF3">
            <w:pPr>
              <w:pStyle w:val="NormalWeb"/>
              <w:shd w:val="clear" w:color="auto" w:fill="FFFFFF"/>
              <w:spacing w:before="0" w:beforeAutospacing="0" w:after="75" w:afterAutospacing="0" w:line="408" w:lineRule="atLeast"/>
              <w:jc w:val="center"/>
              <w:textAlignment w:val="baseline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050DE4" w:rsidRPr="00F7527D" w:rsidRDefault="00E514BC" w:rsidP="007B79EE">
            <w:pPr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lastRenderedPageBreak/>
              <w:t>1</w:t>
            </w:r>
            <w:r w:rsidR="00A113FA" w:rsidRPr="00F7527D">
              <w:rPr>
                <w:rFonts w:cs="Arial"/>
                <w:b/>
                <w:sz w:val="26"/>
                <w:szCs w:val="26"/>
              </w:rPr>
              <w:t>3</w:t>
            </w:r>
            <w:r w:rsidRPr="00F7527D">
              <w:rPr>
                <w:rFonts w:cs="Arial"/>
                <w:b/>
                <w:sz w:val="26"/>
                <w:szCs w:val="26"/>
              </w:rPr>
              <w:t>.</w:t>
            </w:r>
            <w:r w:rsidR="009F3860">
              <w:rPr>
                <w:rFonts w:cs="Arial"/>
                <w:b/>
                <w:sz w:val="26"/>
                <w:szCs w:val="26"/>
              </w:rPr>
              <w:t>30</w:t>
            </w:r>
            <w:r w:rsidR="00FA427E" w:rsidRPr="00F7527D">
              <w:rPr>
                <w:rFonts w:cs="Arial"/>
                <w:b/>
                <w:sz w:val="26"/>
                <w:szCs w:val="26"/>
              </w:rPr>
              <w:t xml:space="preserve"> – </w:t>
            </w:r>
            <w:r w:rsidR="00447064" w:rsidRPr="00F7527D">
              <w:rPr>
                <w:rFonts w:cs="Arial"/>
                <w:b/>
                <w:sz w:val="26"/>
                <w:szCs w:val="26"/>
              </w:rPr>
              <w:t>1</w:t>
            </w:r>
            <w:r w:rsidR="00627BAA">
              <w:rPr>
                <w:rFonts w:cs="Arial"/>
                <w:b/>
                <w:sz w:val="26"/>
                <w:szCs w:val="26"/>
              </w:rPr>
              <w:t>4.00</w:t>
            </w:r>
          </w:p>
        </w:tc>
        <w:tc>
          <w:tcPr>
            <w:tcW w:w="8222" w:type="dxa"/>
          </w:tcPr>
          <w:p w:rsidR="00E514BC" w:rsidRPr="00F7527D" w:rsidRDefault="00E514BC" w:rsidP="00386EF3">
            <w:pPr>
              <w:pStyle w:val="NormalWeb"/>
              <w:shd w:val="clear" w:color="auto" w:fill="FFFFFF"/>
              <w:spacing w:before="0" w:beforeAutospacing="0" w:after="75" w:afterAutospacing="0" w:line="40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527D">
              <w:rPr>
                <w:rFonts w:ascii="Arial" w:hAnsi="Arial" w:cs="Arial"/>
                <w:b/>
                <w:sz w:val="26"/>
                <w:szCs w:val="26"/>
              </w:rPr>
              <w:t>Realising the Value</w:t>
            </w:r>
            <w:r w:rsidR="00F7527D" w:rsidRPr="00F7527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F7527D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F7527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7527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Putting people and communities at the </w:t>
            </w:r>
            <w:r w:rsidR="00F7527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heart of health and wellbeing – </w:t>
            </w:r>
            <w:proofErr w:type="spellStart"/>
            <w:r w:rsidR="00F7527D">
              <w:rPr>
                <w:rFonts w:ascii="Arial" w:hAnsi="Arial" w:cs="Arial"/>
                <w:b/>
                <w:color w:val="000000"/>
                <w:sz w:val="26"/>
                <w:szCs w:val="26"/>
              </w:rPr>
              <w:t>Nesta</w:t>
            </w:r>
            <w:proofErr w:type="spellEnd"/>
            <w:r w:rsidR="00F7527D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and Health Foundation</w:t>
            </w:r>
          </w:p>
          <w:p w:rsidR="00E514BC" w:rsidRPr="00C4047F" w:rsidRDefault="00E514BC" w:rsidP="00937E95">
            <w:pPr>
              <w:pStyle w:val="NormalWeb"/>
              <w:shd w:val="clear" w:color="auto" w:fill="FFFFFF"/>
              <w:spacing w:before="0" w:beforeAutospacing="0" w:after="75" w:afterAutospacing="0" w:line="40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7527D">
              <w:rPr>
                <w:rFonts w:ascii="Arial" w:hAnsi="Arial" w:cs="Arial"/>
                <w:sz w:val="26"/>
                <w:szCs w:val="26"/>
              </w:rPr>
              <w:t>Nesta</w:t>
            </w:r>
            <w:proofErr w:type="spellEnd"/>
            <w:r w:rsidRPr="00F7527D">
              <w:rPr>
                <w:rFonts w:ascii="Arial" w:hAnsi="Arial" w:cs="Arial"/>
                <w:sz w:val="26"/>
                <w:szCs w:val="26"/>
              </w:rPr>
              <w:t xml:space="preserve"> and Health Foundation </w:t>
            </w:r>
            <w:r w:rsidR="00FA427E" w:rsidRPr="00F7527D">
              <w:rPr>
                <w:rFonts w:ascii="Arial" w:hAnsi="Arial" w:cs="Arial"/>
                <w:sz w:val="26"/>
                <w:szCs w:val="26"/>
              </w:rPr>
              <w:t xml:space="preserve">will talk about the </w:t>
            </w:r>
            <w:r w:rsidR="00F7527D" w:rsidRPr="00F7527D">
              <w:rPr>
                <w:rFonts w:ascii="Arial" w:hAnsi="Arial" w:cs="Arial"/>
                <w:sz w:val="26"/>
                <w:szCs w:val="26"/>
              </w:rPr>
              <w:t xml:space="preserve">range of </w:t>
            </w:r>
            <w:r w:rsidRPr="00F7527D">
              <w:rPr>
                <w:rFonts w:ascii="Arial" w:hAnsi="Arial" w:cs="Arial"/>
                <w:sz w:val="26"/>
                <w:szCs w:val="26"/>
              </w:rPr>
              <w:t>resources t</w:t>
            </w:r>
            <w:r w:rsidR="00FA427E" w:rsidRPr="00F7527D">
              <w:rPr>
                <w:rFonts w:ascii="Arial" w:hAnsi="Arial" w:cs="Arial"/>
                <w:sz w:val="26"/>
                <w:szCs w:val="26"/>
              </w:rPr>
              <w:t>hey have produced to</w:t>
            </w:r>
            <w:r w:rsidRPr="00F7527D">
              <w:rPr>
                <w:rFonts w:ascii="Arial" w:hAnsi="Arial" w:cs="Arial"/>
                <w:sz w:val="26"/>
                <w:szCs w:val="26"/>
              </w:rPr>
              <w:t xml:space="preserve"> support </w:t>
            </w:r>
            <w:r w:rsidR="00FA427E" w:rsidRPr="00F7527D">
              <w:rPr>
                <w:rFonts w:ascii="Arial" w:hAnsi="Arial" w:cs="Arial"/>
                <w:sz w:val="26"/>
                <w:szCs w:val="26"/>
              </w:rPr>
              <w:t>commissioners</w:t>
            </w:r>
            <w:r w:rsidR="00FA427E" w:rsidRPr="00F7527D">
              <w:rPr>
                <w:rFonts w:ascii="Arial" w:hAnsi="Arial" w:cs="Arial"/>
                <w:color w:val="000000"/>
                <w:sz w:val="26"/>
                <w:szCs w:val="26"/>
              </w:rPr>
              <w:t>, pro</w:t>
            </w:r>
            <w:r w:rsidR="00F7527D" w:rsidRPr="00F7527D">
              <w:rPr>
                <w:rFonts w:ascii="Arial" w:hAnsi="Arial" w:cs="Arial"/>
                <w:color w:val="000000"/>
                <w:sz w:val="26"/>
                <w:szCs w:val="26"/>
              </w:rPr>
              <w:t xml:space="preserve">viders, </w:t>
            </w:r>
            <w:r w:rsidR="00A113FA" w:rsidRPr="00F7527D">
              <w:rPr>
                <w:rFonts w:ascii="Arial" w:hAnsi="Arial" w:cs="Arial"/>
                <w:color w:val="000000"/>
                <w:sz w:val="26"/>
                <w:szCs w:val="26"/>
              </w:rPr>
              <w:t>practitioners</w:t>
            </w:r>
            <w:r w:rsidR="00F7527D" w:rsidRPr="00F7527D">
              <w:rPr>
                <w:rFonts w:ascii="Arial" w:hAnsi="Arial" w:cs="Arial"/>
                <w:color w:val="000000"/>
                <w:sz w:val="26"/>
                <w:szCs w:val="26"/>
              </w:rPr>
              <w:t>, policymakers and regulators</w:t>
            </w:r>
            <w:r w:rsidR="00A113FA" w:rsidRPr="00F7527D">
              <w:rPr>
                <w:rFonts w:ascii="Arial" w:hAnsi="Arial" w:cs="Arial"/>
                <w:color w:val="000000"/>
                <w:sz w:val="26"/>
                <w:szCs w:val="26"/>
              </w:rPr>
              <w:t xml:space="preserve"> to put person</w:t>
            </w:r>
            <w:r w:rsidR="00FA427E" w:rsidRPr="00F7527D">
              <w:rPr>
                <w:rFonts w:ascii="Arial" w:hAnsi="Arial" w:cs="Arial"/>
                <w:color w:val="000000"/>
                <w:sz w:val="26"/>
                <w:szCs w:val="26"/>
              </w:rPr>
              <w:t xml:space="preserve"> and community-centred approac</w:t>
            </w:r>
            <w:r w:rsidR="00F7527D" w:rsidRPr="00F7527D">
              <w:rPr>
                <w:rFonts w:ascii="Arial" w:hAnsi="Arial" w:cs="Arial"/>
                <w:color w:val="000000"/>
                <w:sz w:val="26"/>
                <w:szCs w:val="26"/>
              </w:rPr>
              <w:t>hes into practice.</w:t>
            </w: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050DE4" w:rsidRPr="00F7527D" w:rsidRDefault="00757091" w:rsidP="0044706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14.00-14.30</w:t>
            </w:r>
          </w:p>
        </w:tc>
        <w:tc>
          <w:tcPr>
            <w:tcW w:w="8222" w:type="dxa"/>
          </w:tcPr>
          <w:p w:rsidR="00FA427E" w:rsidRPr="00F7527D" w:rsidRDefault="00FA427E" w:rsidP="00F7527D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 xml:space="preserve">Integrated Personal Commissioning </w:t>
            </w:r>
            <w:r w:rsidR="00C4047F">
              <w:rPr>
                <w:rFonts w:cs="Arial"/>
                <w:b/>
                <w:sz w:val="26"/>
                <w:szCs w:val="26"/>
              </w:rPr>
              <w:t>(IPC)</w:t>
            </w:r>
            <w:r w:rsidR="00F7527D">
              <w:rPr>
                <w:rFonts w:cs="Arial"/>
                <w:b/>
                <w:sz w:val="26"/>
                <w:szCs w:val="26"/>
              </w:rPr>
              <w:t xml:space="preserve"> - </w:t>
            </w:r>
            <w:r w:rsidRPr="00F7527D">
              <w:rPr>
                <w:rFonts w:cs="Arial"/>
                <w:b/>
                <w:sz w:val="26"/>
                <w:szCs w:val="26"/>
              </w:rPr>
              <w:t>Dr Sam Bennett</w:t>
            </w:r>
          </w:p>
          <w:p w:rsidR="00FA427E" w:rsidRPr="00F7527D" w:rsidRDefault="00FA427E" w:rsidP="00717553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A427E" w:rsidRPr="00F7527D" w:rsidRDefault="00FA427E" w:rsidP="00FA427E">
            <w:pPr>
              <w:jc w:val="center"/>
              <w:rPr>
                <w:rFonts w:cs="Arial"/>
                <w:sz w:val="26"/>
                <w:szCs w:val="26"/>
              </w:rPr>
            </w:pPr>
            <w:r w:rsidRPr="00F7527D">
              <w:rPr>
                <w:rFonts w:cs="Arial"/>
                <w:color w:val="202A30"/>
                <w:sz w:val="26"/>
                <w:szCs w:val="26"/>
                <w:shd w:val="clear" w:color="auto" w:fill="FFFFFF"/>
              </w:rPr>
              <w:t>IPC is a new approach to joining up health, social care and other services at the level of the individual. Dr Sam Bennett will describe how this approach is enabling people, ca</w:t>
            </w:r>
            <w:r w:rsidR="00C4047F">
              <w:rPr>
                <w:rFonts w:cs="Arial"/>
                <w:color w:val="202A30"/>
                <w:sz w:val="26"/>
                <w:szCs w:val="26"/>
                <w:shd w:val="clear" w:color="auto" w:fill="FFFFFF"/>
              </w:rPr>
              <w:t>rers and families to commission</w:t>
            </w:r>
            <w:r w:rsidRPr="00F7527D">
              <w:rPr>
                <w:rFonts w:cs="Arial"/>
                <w:color w:val="202A30"/>
                <w:sz w:val="26"/>
                <w:szCs w:val="26"/>
                <w:shd w:val="clear" w:color="auto" w:fill="FFFFFF"/>
              </w:rPr>
              <w:t xml:space="preserve"> their own care through personalised care planning and personal budgets. Community capacity is also harnessed </w:t>
            </w:r>
            <w:r w:rsidRPr="00F7527D">
              <w:rPr>
                <w:rFonts w:cs="Arial"/>
                <w:sz w:val="26"/>
                <w:szCs w:val="26"/>
              </w:rPr>
              <w:t xml:space="preserve">through improved networking of formal care services with neighbourhood and community resources. </w:t>
            </w:r>
          </w:p>
          <w:p w:rsidR="00FA427E" w:rsidRPr="00F7527D" w:rsidRDefault="00FA427E" w:rsidP="00A113FA">
            <w:pPr>
              <w:rPr>
                <w:rFonts w:cs="Arial"/>
                <w:sz w:val="26"/>
                <w:szCs w:val="26"/>
              </w:rPr>
            </w:pPr>
          </w:p>
        </w:tc>
      </w:tr>
      <w:tr w:rsidR="00050DE4" w:rsidRPr="00F7527D" w:rsidTr="00A113FA">
        <w:trPr>
          <w:trHeight w:val="634"/>
          <w:jc w:val="center"/>
        </w:trPr>
        <w:tc>
          <w:tcPr>
            <w:tcW w:w="1838" w:type="dxa"/>
          </w:tcPr>
          <w:p w:rsidR="00050DE4" w:rsidRPr="00F7527D" w:rsidRDefault="00A113FA" w:rsidP="00757091">
            <w:pPr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14</w:t>
            </w:r>
            <w:r w:rsidR="00D80B09" w:rsidRPr="00F7527D">
              <w:rPr>
                <w:rFonts w:cs="Arial"/>
                <w:b/>
                <w:sz w:val="26"/>
                <w:szCs w:val="26"/>
              </w:rPr>
              <w:t>.</w:t>
            </w:r>
            <w:r w:rsidR="00757091">
              <w:rPr>
                <w:rFonts w:cs="Arial"/>
                <w:b/>
                <w:sz w:val="26"/>
                <w:szCs w:val="26"/>
              </w:rPr>
              <w:t>30</w:t>
            </w:r>
            <w:r w:rsidR="00447064" w:rsidRPr="00F7527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757091">
              <w:rPr>
                <w:rFonts w:cs="Arial"/>
                <w:b/>
                <w:sz w:val="26"/>
                <w:szCs w:val="26"/>
              </w:rPr>
              <w:t>–</w:t>
            </w:r>
            <w:r w:rsidRPr="00F7527D">
              <w:rPr>
                <w:rFonts w:cs="Arial"/>
                <w:b/>
                <w:sz w:val="26"/>
                <w:szCs w:val="26"/>
              </w:rPr>
              <w:t xml:space="preserve"> </w:t>
            </w:r>
            <w:r w:rsidR="00757091">
              <w:rPr>
                <w:rFonts w:cs="Arial"/>
                <w:b/>
                <w:sz w:val="26"/>
                <w:szCs w:val="26"/>
              </w:rPr>
              <w:t>15.00</w:t>
            </w:r>
          </w:p>
        </w:tc>
        <w:tc>
          <w:tcPr>
            <w:tcW w:w="8222" w:type="dxa"/>
          </w:tcPr>
          <w:p w:rsidR="009F3860" w:rsidRPr="00F7527D" w:rsidRDefault="009F3860" w:rsidP="009F3860">
            <w:pPr>
              <w:tabs>
                <w:tab w:val="left" w:pos="2833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North London Cares</w:t>
            </w:r>
            <w:r>
              <w:rPr>
                <w:rFonts w:cs="Arial"/>
                <w:b/>
                <w:sz w:val="26"/>
                <w:szCs w:val="26"/>
              </w:rPr>
              <w:t xml:space="preserve"> - </w:t>
            </w:r>
            <w:r w:rsidRPr="00F7527D">
              <w:rPr>
                <w:rFonts w:cs="Arial"/>
                <w:b/>
                <w:sz w:val="26"/>
                <w:szCs w:val="26"/>
              </w:rPr>
              <w:t>Alex Smith</w:t>
            </w:r>
          </w:p>
          <w:p w:rsidR="009F3860" w:rsidRPr="00F7527D" w:rsidRDefault="009F3860" w:rsidP="009F3860">
            <w:pPr>
              <w:tabs>
                <w:tab w:val="left" w:pos="2833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9F3860" w:rsidRPr="00F7527D" w:rsidRDefault="009F3860" w:rsidP="009F3860">
            <w:pPr>
              <w:pStyle w:val="NormalWeb"/>
              <w:spacing w:before="0" w:beforeAutospacing="0" w:after="0" w:afterAutospacing="0" w:line="39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7527D">
              <w:rPr>
                <w:rStyle w:val="Strong"/>
                <w:rFonts w:ascii="Arial" w:hAnsi="Arial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North London Cares is a community network of young professionals and older neighbours offering practical help, social connection and human companionship. Alex Smith will describe how this approach is tackling the </w:t>
            </w:r>
            <w:r w:rsidRPr="00F7527D">
              <w:rPr>
                <w:rFonts w:ascii="Arial" w:hAnsi="Arial" w:cs="Arial"/>
                <w:color w:val="000000"/>
                <w:sz w:val="26"/>
                <w:szCs w:val="26"/>
              </w:rPr>
              <w:t>growing problem of isolation and loneliness to help improve the confidence, resilience, skills and connections of all participants.</w:t>
            </w:r>
          </w:p>
          <w:p w:rsidR="00A113FA" w:rsidRPr="00F7527D" w:rsidRDefault="00A113FA" w:rsidP="007B79EE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050DE4" w:rsidRPr="00F7527D" w:rsidRDefault="0075709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15.00-15.10</w:t>
            </w:r>
          </w:p>
        </w:tc>
        <w:tc>
          <w:tcPr>
            <w:tcW w:w="8222" w:type="dxa"/>
          </w:tcPr>
          <w:p w:rsidR="008F162D" w:rsidRDefault="00447064" w:rsidP="00937E95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527D">
              <w:rPr>
                <w:rFonts w:ascii="Arial" w:hAnsi="Arial" w:cs="Arial"/>
                <w:b/>
                <w:sz w:val="26"/>
                <w:szCs w:val="26"/>
              </w:rPr>
              <w:t>Grab a cuppa</w:t>
            </w:r>
            <w:r w:rsidR="00F7527D" w:rsidRPr="00F7527D">
              <w:rPr>
                <w:rFonts w:ascii="Arial" w:hAnsi="Arial" w:cs="Arial"/>
                <w:b/>
                <w:sz w:val="26"/>
                <w:szCs w:val="26"/>
              </w:rPr>
              <w:t>!</w:t>
            </w:r>
          </w:p>
          <w:p w:rsidR="00937E95" w:rsidRPr="00F7527D" w:rsidRDefault="00937E95" w:rsidP="00447064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050DE4" w:rsidRPr="00F7527D" w:rsidRDefault="00757091" w:rsidP="00627BA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15.10 – 16.</w:t>
            </w:r>
            <w:r w:rsidR="00627BAA">
              <w:rPr>
                <w:rFonts w:cs="Arial"/>
                <w:b/>
                <w:sz w:val="26"/>
                <w:szCs w:val="26"/>
              </w:rPr>
              <w:t>10</w:t>
            </w:r>
          </w:p>
        </w:tc>
        <w:tc>
          <w:tcPr>
            <w:tcW w:w="8222" w:type="dxa"/>
          </w:tcPr>
          <w:p w:rsidR="00E47BD2" w:rsidRPr="00F7527D" w:rsidRDefault="00386EF3" w:rsidP="00386EF3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Ask the Panel - o</w:t>
            </w:r>
            <w:r w:rsidR="00757091" w:rsidRPr="00386EF3">
              <w:rPr>
                <w:rFonts w:cs="Arial"/>
                <w:b/>
                <w:sz w:val="26"/>
                <w:szCs w:val="26"/>
              </w:rPr>
              <w:t>ur guest presenters will be joined by</w:t>
            </w:r>
            <w:r w:rsidR="00757091" w:rsidRPr="00386EF3">
              <w:rPr>
                <w:rFonts w:cs="Arial"/>
                <w:sz w:val="26"/>
                <w:szCs w:val="26"/>
              </w:rPr>
              <w:t xml:space="preserve"> </w:t>
            </w:r>
            <w:r w:rsidR="00757091">
              <w:rPr>
                <w:rFonts w:cs="Arial"/>
                <w:b/>
                <w:sz w:val="26"/>
                <w:szCs w:val="26"/>
              </w:rPr>
              <w:t>Ed Moses, Deputy Director, Department of Health</w:t>
            </w:r>
          </w:p>
          <w:p w:rsidR="00E47BD2" w:rsidRPr="00F7527D" w:rsidRDefault="00E47BD2" w:rsidP="00A113FA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050DE4" w:rsidRPr="00F7527D" w:rsidTr="00A113FA">
        <w:trPr>
          <w:jc w:val="center"/>
        </w:trPr>
        <w:tc>
          <w:tcPr>
            <w:tcW w:w="1838" w:type="dxa"/>
          </w:tcPr>
          <w:p w:rsidR="00050DE4" w:rsidRPr="00F7527D" w:rsidRDefault="00757091" w:rsidP="00627BA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16.</w:t>
            </w:r>
            <w:r w:rsidR="00627BAA">
              <w:rPr>
                <w:rFonts w:cs="Arial"/>
                <w:b/>
                <w:sz w:val="26"/>
                <w:szCs w:val="26"/>
              </w:rPr>
              <w:t>10-16.15</w:t>
            </w:r>
          </w:p>
        </w:tc>
        <w:tc>
          <w:tcPr>
            <w:tcW w:w="8222" w:type="dxa"/>
          </w:tcPr>
          <w:p w:rsidR="00627BAA" w:rsidRPr="00F7527D" w:rsidRDefault="00627BAA" w:rsidP="00386EF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527D">
              <w:rPr>
                <w:rFonts w:cs="Arial"/>
                <w:b/>
                <w:sz w:val="26"/>
                <w:szCs w:val="26"/>
              </w:rPr>
              <w:t>Closing comments</w:t>
            </w:r>
          </w:p>
          <w:p w:rsidR="00050DE4" w:rsidRPr="00F7527D" w:rsidRDefault="00050DE4" w:rsidP="002E3E2A">
            <w:pPr>
              <w:tabs>
                <w:tab w:val="left" w:pos="2833"/>
              </w:tabs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050DE4" w:rsidRPr="007A43AF" w:rsidRDefault="00050DE4">
      <w:pPr>
        <w:rPr>
          <w:rFonts w:asciiTheme="minorHAnsi" w:hAnsiTheme="minorHAnsi"/>
          <w:sz w:val="28"/>
          <w:szCs w:val="28"/>
        </w:rPr>
      </w:pPr>
    </w:p>
    <w:p w:rsidR="004167A4" w:rsidRPr="00602F22" w:rsidRDefault="004167A4">
      <w:pPr>
        <w:rPr>
          <w:rFonts w:asciiTheme="minorHAnsi" w:hAnsiTheme="minorHAnsi"/>
          <w:sz w:val="28"/>
          <w:szCs w:val="28"/>
        </w:rPr>
      </w:pPr>
    </w:p>
    <w:p w:rsidR="00602F22" w:rsidRPr="00602F22" w:rsidRDefault="00602F22">
      <w:pPr>
        <w:rPr>
          <w:rFonts w:asciiTheme="minorHAnsi" w:hAnsiTheme="minorHAnsi"/>
          <w:sz w:val="28"/>
          <w:szCs w:val="28"/>
        </w:rPr>
      </w:pPr>
    </w:p>
    <w:sectPr w:rsidR="00602F22" w:rsidRPr="00602F22" w:rsidSect="00D57A12">
      <w:headerReference w:type="default" r:id="rId8"/>
      <w:pgSz w:w="11906" w:h="16838"/>
      <w:pgMar w:top="1440" w:right="1440" w:bottom="1440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0B" w:rsidRDefault="0034470B" w:rsidP="00050DE4">
      <w:r>
        <w:separator/>
      </w:r>
    </w:p>
  </w:endnote>
  <w:endnote w:type="continuationSeparator" w:id="0">
    <w:p w:rsidR="0034470B" w:rsidRDefault="0034470B" w:rsidP="0005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0B" w:rsidRDefault="0034470B" w:rsidP="00050DE4">
      <w:r>
        <w:separator/>
      </w:r>
    </w:p>
  </w:footnote>
  <w:footnote w:type="continuationSeparator" w:id="0">
    <w:p w:rsidR="0034470B" w:rsidRDefault="0034470B" w:rsidP="0005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FA" w:rsidRDefault="00A113FA" w:rsidP="002E3E2A">
    <w:pPr>
      <w:pStyle w:val="Header"/>
      <w:jc w:val="center"/>
    </w:pPr>
  </w:p>
  <w:p w:rsidR="00403708" w:rsidRDefault="00A113FA" w:rsidP="002E3E2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8EE92B" wp14:editId="0D93CFB8">
          <wp:extent cx="3826872" cy="11144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485" cy="1123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13FA" w:rsidRDefault="00A113FA" w:rsidP="002E3E2A">
    <w:pPr>
      <w:pStyle w:val="Header"/>
      <w:jc w:val="center"/>
    </w:pPr>
  </w:p>
  <w:p w:rsidR="00A113FA" w:rsidRDefault="00A113FA" w:rsidP="002E3E2A">
    <w:pPr>
      <w:pStyle w:val="Header"/>
      <w:jc w:val="center"/>
    </w:pPr>
  </w:p>
  <w:p w:rsidR="00A113FA" w:rsidRDefault="00A113FA" w:rsidP="002E3E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6"/>
    <w:rsid w:val="0001471B"/>
    <w:rsid w:val="000275AF"/>
    <w:rsid w:val="0003766B"/>
    <w:rsid w:val="00050DE4"/>
    <w:rsid w:val="000517BF"/>
    <w:rsid w:val="000D72E6"/>
    <w:rsid w:val="0016592D"/>
    <w:rsid w:val="00193DDE"/>
    <w:rsid w:val="001A680C"/>
    <w:rsid w:val="0023641F"/>
    <w:rsid w:val="002551FD"/>
    <w:rsid w:val="00263080"/>
    <w:rsid w:val="002D5F6F"/>
    <w:rsid w:val="002E3E2A"/>
    <w:rsid w:val="0033722A"/>
    <w:rsid w:val="0034470B"/>
    <w:rsid w:val="00362EA8"/>
    <w:rsid w:val="00386EF3"/>
    <w:rsid w:val="00390598"/>
    <w:rsid w:val="003E2038"/>
    <w:rsid w:val="00403708"/>
    <w:rsid w:val="004167A4"/>
    <w:rsid w:val="00421EBC"/>
    <w:rsid w:val="00427782"/>
    <w:rsid w:val="00447064"/>
    <w:rsid w:val="0047412A"/>
    <w:rsid w:val="004D01F9"/>
    <w:rsid w:val="0053543E"/>
    <w:rsid w:val="0055612C"/>
    <w:rsid w:val="00567869"/>
    <w:rsid w:val="005A5D08"/>
    <w:rsid w:val="005D7CF8"/>
    <w:rsid w:val="00602F22"/>
    <w:rsid w:val="00627BAA"/>
    <w:rsid w:val="006A72A2"/>
    <w:rsid w:val="006B089C"/>
    <w:rsid w:val="007061E1"/>
    <w:rsid w:val="00717553"/>
    <w:rsid w:val="00741379"/>
    <w:rsid w:val="00757091"/>
    <w:rsid w:val="00784A4B"/>
    <w:rsid w:val="007A43AF"/>
    <w:rsid w:val="007B79EE"/>
    <w:rsid w:val="007C2A3F"/>
    <w:rsid w:val="007D1C9C"/>
    <w:rsid w:val="007D28B5"/>
    <w:rsid w:val="00872A51"/>
    <w:rsid w:val="008E068E"/>
    <w:rsid w:val="008F162D"/>
    <w:rsid w:val="0090373F"/>
    <w:rsid w:val="0092416B"/>
    <w:rsid w:val="00925BFE"/>
    <w:rsid w:val="00931E15"/>
    <w:rsid w:val="00937E95"/>
    <w:rsid w:val="009D04C5"/>
    <w:rsid w:val="009F3860"/>
    <w:rsid w:val="00A113FA"/>
    <w:rsid w:val="00A45094"/>
    <w:rsid w:val="00A612EE"/>
    <w:rsid w:val="00AF3069"/>
    <w:rsid w:val="00B16057"/>
    <w:rsid w:val="00B24C35"/>
    <w:rsid w:val="00B35ED1"/>
    <w:rsid w:val="00B417E7"/>
    <w:rsid w:val="00B52DA1"/>
    <w:rsid w:val="00B56FA2"/>
    <w:rsid w:val="00B834FE"/>
    <w:rsid w:val="00B83D51"/>
    <w:rsid w:val="00B930BF"/>
    <w:rsid w:val="00B970B2"/>
    <w:rsid w:val="00BD27EC"/>
    <w:rsid w:val="00C4047F"/>
    <w:rsid w:val="00CB223E"/>
    <w:rsid w:val="00CE2492"/>
    <w:rsid w:val="00D2346C"/>
    <w:rsid w:val="00D57A12"/>
    <w:rsid w:val="00D80B09"/>
    <w:rsid w:val="00E2105E"/>
    <w:rsid w:val="00E364C9"/>
    <w:rsid w:val="00E47BD2"/>
    <w:rsid w:val="00E514BC"/>
    <w:rsid w:val="00E556A4"/>
    <w:rsid w:val="00E61233"/>
    <w:rsid w:val="00EF0ADC"/>
    <w:rsid w:val="00F14F4A"/>
    <w:rsid w:val="00F268AC"/>
    <w:rsid w:val="00F7527D"/>
    <w:rsid w:val="00F9640D"/>
    <w:rsid w:val="00FA427E"/>
    <w:rsid w:val="00FA516D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1B0A284-6A7D-40DF-86D6-B8E92C7F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DE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E4"/>
  </w:style>
  <w:style w:type="paragraph" w:styleId="Footer">
    <w:name w:val="footer"/>
    <w:basedOn w:val="Normal"/>
    <w:link w:val="FooterChar"/>
    <w:uiPriority w:val="99"/>
    <w:unhideWhenUsed/>
    <w:rsid w:val="00050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E4"/>
  </w:style>
  <w:style w:type="paragraph" w:styleId="BalloonText">
    <w:name w:val="Balloon Text"/>
    <w:basedOn w:val="Normal"/>
    <w:link w:val="BalloonTextChar"/>
    <w:uiPriority w:val="99"/>
    <w:semiHidden/>
    <w:unhideWhenUsed/>
    <w:rsid w:val="0042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03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14BC"/>
  </w:style>
  <w:style w:type="paragraph" w:customStyle="1" w:styleId="Default">
    <w:name w:val="Default"/>
    <w:rsid w:val="00FA427E"/>
    <w:pPr>
      <w:autoSpaceDE w:val="0"/>
      <w:autoSpaceDN w:val="0"/>
      <w:adjustRightInd w:val="0"/>
    </w:pPr>
    <w:rPr>
      <w:rFonts w:ascii="Gotham Book" w:hAnsi="Gotham Book" w:cs="Gotham Book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4741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1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instreet.org/wp-content/uploads/2013/11/Coin-Street-neighbourhood-centre-map-and-directions-201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E9BE-2DE6-4C74-BA09-366A75F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Moutou</dc:creator>
  <cp:keywords/>
  <dc:description/>
  <cp:lastModifiedBy>Andrew Parkinson</cp:lastModifiedBy>
  <cp:revision>3</cp:revision>
  <cp:lastPrinted>2017-01-05T09:17:00Z</cp:lastPrinted>
  <dcterms:created xsi:type="dcterms:W3CDTF">2017-01-05T09:20:00Z</dcterms:created>
  <dcterms:modified xsi:type="dcterms:W3CDTF">2017-01-11T15:13:00Z</dcterms:modified>
</cp:coreProperties>
</file>